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2FA7EC69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A337C8">
        <w:rPr>
          <w:rFonts w:cstheme="minorHAnsi"/>
          <w:b/>
          <w:bCs/>
          <w:sz w:val="28"/>
          <w:szCs w:val="28"/>
        </w:rPr>
        <w:t>Maths and Further Maths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5319441F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over your notes and check that you understand everything you have written down.  Anything you don’t understand, check with a friend, in a </w:t>
            </w:r>
            <w:r w:rsidR="00F10021">
              <w:rPr>
                <w:rFonts w:cstheme="minorHAnsi"/>
                <w:sz w:val="24"/>
                <w:szCs w:val="24"/>
              </w:rPr>
              <w:t>textbook</w:t>
            </w:r>
            <w:r>
              <w:rPr>
                <w:rFonts w:cstheme="minorHAnsi"/>
                <w:sz w:val="24"/>
                <w:szCs w:val="24"/>
              </w:rPr>
              <w:t xml:space="preserve"> or ask your teacher to clarify</w:t>
            </w:r>
            <w:r w:rsidR="00A337C8">
              <w:rPr>
                <w:rFonts w:cstheme="minorHAnsi"/>
                <w:sz w:val="24"/>
                <w:szCs w:val="24"/>
              </w:rPr>
              <w:t>.</w:t>
            </w:r>
          </w:p>
          <w:p w14:paraId="3951F917" w14:textId="6C6C0CE4" w:rsidR="00B54194" w:rsidRPr="00B54194" w:rsidRDefault="00A337C8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any exercises that you didn’t complete in class – focus mainly on E/P questions.</w:t>
            </w:r>
          </w:p>
          <w:p w14:paraId="0D933C60" w14:textId="2C964453" w:rsidR="00B54194" w:rsidRPr="00B54194" w:rsidRDefault="00A337C8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Find examples of exam questions on the topic that the lesson covered. Understand how this topic fits into the overall course.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070A703A" w14:textId="77777777" w:rsidR="00A337C8" w:rsidRPr="00A337C8" w:rsidRDefault="00A337C8" w:rsidP="00A337C8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will usually be either chapter tests or past papers. The purpose of the chapter tests is twofold – to give you practice at exam-standard questions, which are written using similar style to those that you will see in your external exams. Also to check that your understanding of a topic is at the level that is required for success at A-Level.</w:t>
            </w:r>
          </w:p>
          <w:p w14:paraId="35971225" w14:textId="7399B309" w:rsidR="00A337C8" w:rsidRDefault="00A337C8" w:rsidP="00A337C8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When attempting a past paper, it is recommended that you work in test conditions – as much as possible. Use the </w:t>
            </w:r>
            <w:r w:rsidR="00DB190D">
              <w:rPr>
                <w:rFonts w:cstheme="minorHAnsi"/>
                <w:sz w:val="24"/>
                <w:szCs w:val="24"/>
              </w:rPr>
              <w:t>mark scheme</w:t>
            </w:r>
            <w:r>
              <w:rPr>
                <w:rFonts w:cstheme="minorHAnsi"/>
                <w:sz w:val="24"/>
                <w:szCs w:val="24"/>
              </w:rPr>
              <w:t xml:space="preserve"> to understand your strengths and needs and fill those gaps in your knowledge in whichever way suits you best.</w:t>
            </w:r>
            <w:r w:rsidR="00F10021">
              <w:rPr>
                <w:rFonts w:cstheme="minorHAnsi"/>
                <w:sz w:val="24"/>
                <w:szCs w:val="24"/>
              </w:rPr>
              <w:t xml:space="preserve"> The only way to make it stick is practise.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45A876BD" w14:textId="258DABE3" w:rsidR="00980E35" w:rsidRPr="00A337C8" w:rsidRDefault="00A337C8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Physics and Maths tutor website is a good source for practice questions and revision. Solution banks to text-book exercises </w:t>
            </w:r>
            <w:r w:rsidR="00626EB3">
              <w:rPr>
                <w:rFonts w:cstheme="minorHAnsi"/>
                <w:sz w:val="24"/>
                <w:szCs w:val="24"/>
              </w:rPr>
              <w:t>are</w:t>
            </w:r>
            <w:r>
              <w:rPr>
                <w:rFonts w:cstheme="minorHAnsi"/>
                <w:sz w:val="24"/>
                <w:szCs w:val="24"/>
              </w:rPr>
              <w:t xml:space="preserve"> also linked to from here.</w:t>
            </w:r>
          </w:p>
          <w:p w14:paraId="3B26D0A2" w14:textId="00E41A67" w:rsidR="00A337C8" w:rsidRDefault="00A337C8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337C8">
              <w:rPr>
                <w:rFonts w:cstheme="minorHAnsi"/>
                <w:sz w:val="24"/>
                <w:szCs w:val="24"/>
              </w:rPr>
              <w:t>Haberdashers</w:t>
            </w:r>
            <w:r>
              <w:rPr>
                <w:rFonts w:cstheme="minorHAnsi"/>
                <w:sz w:val="24"/>
                <w:szCs w:val="24"/>
              </w:rPr>
              <w:t xml:space="preserve"> Adams </w:t>
            </w:r>
            <w:r w:rsidR="00626EB3">
              <w:rPr>
                <w:rFonts w:cstheme="minorHAnsi"/>
                <w:sz w:val="24"/>
                <w:szCs w:val="24"/>
              </w:rPr>
              <w:t>YouTube</w:t>
            </w:r>
            <w:r>
              <w:rPr>
                <w:rFonts w:cstheme="minorHAnsi"/>
                <w:sz w:val="24"/>
                <w:szCs w:val="24"/>
              </w:rPr>
              <w:t xml:space="preserve"> channel has videos linked to the textbooks – so that if you miss a lesson or need an alternative explanation, this is a good place to start.</w:t>
            </w:r>
          </w:p>
          <w:p w14:paraId="2B40F7C3" w14:textId="22FCF883" w:rsidR="00A337C8" w:rsidRDefault="00A337C8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Bicen Maths </w:t>
            </w:r>
            <w:r w:rsidR="00626EB3">
              <w:rPr>
                <w:rFonts w:cstheme="minorHAnsi"/>
                <w:sz w:val="24"/>
                <w:szCs w:val="24"/>
              </w:rPr>
              <w:t>YouTube</w:t>
            </w:r>
            <w:r>
              <w:rPr>
                <w:rFonts w:cstheme="minorHAnsi"/>
                <w:sz w:val="24"/>
                <w:szCs w:val="24"/>
              </w:rPr>
              <w:t xml:space="preserve"> channel is brilliant for revision and exam support. You should subscribe. Do it now.</w:t>
            </w:r>
          </w:p>
          <w:p w14:paraId="0435EB70" w14:textId="641E21AF" w:rsidR="00A337C8" w:rsidRPr="00A337C8" w:rsidRDefault="00A337C8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TLMaths.com has a load of videos, including tutorials on the </w:t>
            </w:r>
            <w:r w:rsidR="00626EB3">
              <w:rPr>
                <w:rFonts w:cstheme="minorHAnsi"/>
                <w:sz w:val="24"/>
                <w:szCs w:val="24"/>
              </w:rPr>
              <w:t>Casio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classwiz</w:t>
            </w:r>
            <w:proofErr w:type="spellEnd"/>
            <w:r w:rsidR="00626EB3">
              <w:rPr>
                <w:rFonts w:cstheme="minorHAnsi"/>
                <w:sz w:val="24"/>
                <w:szCs w:val="24"/>
              </w:rPr>
              <w:t xml:space="preserve"> calculators</w:t>
            </w:r>
            <w:r>
              <w:rPr>
                <w:rFonts w:cstheme="minorHAnsi"/>
                <w:sz w:val="24"/>
                <w:szCs w:val="24"/>
              </w:rPr>
              <w:t>. Another good site for alternative explanations.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497300"/>
    <w:rsid w:val="00626EB3"/>
    <w:rsid w:val="006F5C92"/>
    <w:rsid w:val="008A599A"/>
    <w:rsid w:val="00943925"/>
    <w:rsid w:val="00980E35"/>
    <w:rsid w:val="009F0729"/>
    <w:rsid w:val="00A21E79"/>
    <w:rsid w:val="00A337C8"/>
    <w:rsid w:val="00A35D43"/>
    <w:rsid w:val="00B325DA"/>
    <w:rsid w:val="00B54194"/>
    <w:rsid w:val="00DB190D"/>
    <w:rsid w:val="00DE22A2"/>
    <w:rsid w:val="00E903E1"/>
    <w:rsid w:val="00EF51A1"/>
    <w:rsid w:val="00EF712F"/>
    <w:rsid w:val="00F10021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C1A400113A141A803464EAF02CAF6" ma:contentTypeVersion="18" ma:contentTypeDescription="Create a new document." ma:contentTypeScope="" ma:versionID="b8dccc411b934b3c8abe0ddc58da183f">
  <xsd:schema xmlns:xsd="http://www.w3.org/2001/XMLSchema" xmlns:xs="http://www.w3.org/2001/XMLSchema" xmlns:p="http://schemas.microsoft.com/office/2006/metadata/properties" xmlns:ns2="609b9a64-d718-4f2f-9d8d-575d44b8ad32" xmlns:ns3="7eea1313-5e89-4206-a430-68543a17d7c6" targetNamespace="http://schemas.microsoft.com/office/2006/metadata/properties" ma:root="true" ma:fieldsID="4e566b0e1a5595279caa605566b40f2c" ns2:_="" ns3:_="">
    <xsd:import namespace="609b9a64-d718-4f2f-9d8d-575d44b8ad32"/>
    <xsd:import namespace="7eea1313-5e89-4206-a430-68543a17d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9a64-d718-4f2f-9d8d-575d44b8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1313-5e89-4206-a430-68543a17d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f1db7a-2214-4c4b-81af-f61de08a1917}" ma:internalName="TaxCatchAll" ma:showField="CatchAllData" ma:web="7eea1313-5e89-4206-a430-68543a17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1313-5e89-4206-a430-68543a17d7c6" xsi:nil="true"/>
    <lcf76f155ced4ddcb4097134ff3c332f xmlns="609b9a64-d718-4f2f-9d8d-575d44b8a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52640-0C99-44E9-BE1A-95D45F71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b9a64-d718-4f2f-9d8d-575d44b8ad32"/>
    <ds:schemaRef ds:uri="7eea1313-5e89-4206-a430-68543a17d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purl.org/dc/elements/1.1/"/>
    <ds:schemaRef ds:uri="7eea1313-5e89-4206-a430-68543a17d7c6"/>
    <ds:schemaRef ds:uri="http://purl.org/dc/terms/"/>
    <ds:schemaRef ds:uri="http://schemas.microsoft.com/office/2006/metadata/properties"/>
    <ds:schemaRef ds:uri="http://purl.org/dc/dcmitype/"/>
    <ds:schemaRef ds:uri="609b9a64-d718-4f2f-9d8d-575d44b8a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Field</cp:lastModifiedBy>
  <cp:revision>2</cp:revision>
  <dcterms:created xsi:type="dcterms:W3CDTF">2025-10-06T16:58:00Z</dcterms:created>
  <dcterms:modified xsi:type="dcterms:W3CDTF">2025-10-06T16:58:00Z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0x0101004A9C1A400113A141A803464EAF02CAF6</vt:lpwstr>
  </property>
</Properties>
</file>