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58D4E6FB" w:rsidR="008A599A" w:rsidRDefault="00EF712F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Exemplar </w:t>
      </w:r>
      <w:r w:rsidR="006F5C92">
        <w:rPr>
          <w:rFonts w:cstheme="minorHAnsi"/>
          <w:b/>
          <w:bCs/>
          <w:sz w:val="28"/>
          <w:szCs w:val="28"/>
        </w:rPr>
        <w:t xml:space="preserve">- </w:t>
      </w:r>
      <w:r w:rsidR="00B54194"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6F6462">
        <w:rPr>
          <w:rFonts w:cstheme="minorHAnsi"/>
          <w:b/>
          <w:bCs/>
          <w:sz w:val="28"/>
          <w:szCs w:val="28"/>
        </w:rPr>
        <w:t>MFL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back over your notes and check that you understand everything you have written down.  Anything you don’t understand, check with a friend, in a </w:t>
            </w:r>
            <w:proofErr w:type="gramStart"/>
            <w:r>
              <w:rPr>
                <w:rFonts w:cstheme="minorHAnsi"/>
                <w:sz w:val="24"/>
                <w:szCs w:val="24"/>
              </w:rPr>
              <w:t>text book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or ask your teacher to clarify</w:t>
            </w:r>
          </w:p>
          <w:p w14:paraId="3951F917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from activities you did not quite complete in class</w:t>
            </w:r>
          </w:p>
          <w:p w14:paraId="2C04CBA1" w14:textId="2115B155" w:rsidR="00B54194" w:rsidRPr="004330BA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Make flashcards or </w:t>
            </w:r>
            <w:proofErr w:type="spellStart"/>
            <w:r>
              <w:rPr>
                <w:rFonts w:cstheme="minorHAnsi"/>
                <w:sz w:val="24"/>
                <w:szCs w:val="24"/>
              </w:rPr>
              <w:t>Quizlet</w:t>
            </w:r>
            <w:r w:rsidR="004330BA">
              <w:rPr>
                <w:rFonts w:cstheme="minorHAnsi"/>
                <w:sz w:val="24"/>
                <w:szCs w:val="24"/>
              </w:rPr>
              <w:t>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of any new vocabulary and practise this so that you learn the key words</w:t>
            </w:r>
          </w:p>
          <w:p w14:paraId="48CC654A" w14:textId="004B4AF8" w:rsidR="004330BA" w:rsidRPr="004330BA" w:rsidRDefault="004330BA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330BA">
              <w:rPr>
                <w:rFonts w:cstheme="minorHAnsi"/>
                <w:sz w:val="24"/>
                <w:szCs w:val="24"/>
              </w:rPr>
              <w:t>Have a look on Quizlet to see if someone has already created vocabulary sets for each unit that you can try</w:t>
            </w:r>
          </w:p>
          <w:p w14:paraId="0D933C60" w14:textId="0A98B48C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 a one-page revision summary of the key ideas – this can be a mind-map, set of bullet points or whatever works best for you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6E356473" w14:textId="77777777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Sometimes this will be a pre-reading task to prepare for the next lesson</w:t>
            </w:r>
          </w:p>
          <w:p w14:paraId="127C243F" w14:textId="77D1C280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Sometimes t</w:t>
            </w:r>
            <w:r w:rsidR="004330BA">
              <w:rPr>
                <w:rFonts w:cstheme="minorHAnsi"/>
                <w:sz w:val="24"/>
                <w:szCs w:val="24"/>
              </w:rPr>
              <w:t>his will be completing reading and listening activities from Kerboodle</w:t>
            </w:r>
          </w:p>
          <w:p w14:paraId="35971225" w14:textId="0617849A" w:rsid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Revision will also be set for home learning at appropriate times in the year</w:t>
            </w:r>
            <w:r w:rsidR="004330BA">
              <w:rPr>
                <w:rFonts w:cstheme="minorHAnsi"/>
                <w:sz w:val="24"/>
                <w:szCs w:val="24"/>
              </w:rPr>
              <w:t>. You can use Kerboodle or your folder for support with revision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4F62132C" w14:textId="0A1251E1" w:rsidR="00B54194" w:rsidRPr="00B54194" w:rsidRDefault="004330BA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Kerboodle has additional online tasks and vocabulary building activities. There is also grammar support</w:t>
            </w:r>
            <w:r w:rsidR="004E6EA4">
              <w:rPr>
                <w:rFonts w:cstheme="minorHAnsi"/>
                <w:sz w:val="24"/>
                <w:szCs w:val="24"/>
              </w:rPr>
              <w:t xml:space="preserve"> within this platform to help you consolidate further</w:t>
            </w:r>
          </w:p>
          <w:p w14:paraId="57549BC0" w14:textId="77777777" w:rsidR="00980E35" w:rsidRDefault="004E6EA4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F174C">
              <w:rPr>
                <w:rFonts w:cstheme="minorHAnsi"/>
                <w:sz w:val="24"/>
                <w:szCs w:val="24"/>
              </w:rPr>
              <w:t xml:space="preserve">Netflix, Prime, Disney and All4 all have foreign films. You can also change the language or add subtitles to </w:t>
            </w:r>
            <w:r w:rsidR="00EF174C" w:rsidRPr="00EF174C">
              <w:rPr>
                <w:rFonts w:cstheme="minorHAnsi"/>
                <w:sz w:val="24"/>
                <w:szCs w:val="24"/>
              </w:rPr>
              <w:t>films. Try watching one of your favourite films with the language or subtitles of the language that you are learning.</w:t>
            </w:r>
          </w:p>
          <w:p w14:paraId="15C4A560" w14:textId="77777777" w:rsidR="00EF174C" w:rsidRDefault="00EF174C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 the internet to find grammar websites that help you understand any grammar points that you don’t </w:t>
            </w:r>
            <w:proofErr w:type="gramStart"/>
            <w:r>
              <w:rPr>
                <w:rFonts w:cstheme="minorHAnsi"/>
                <w:sz w:val="24"/>
                <w:szCs w:val="24"/>
              </w:rPr>
              <w:t>understand</w:t>
            </w:r>
            <w:proofErr w:type="gramEnd"/>
            <w:r w:rsidR="00D76370">
              <w:rPr>
                <w:rFonts w:cstheme="minorHAnsi"/>
                <w:sz w:val="24"/>
                <w:szCs w:val="24"/>
              </w:rPr>
              <w:t xml:space="preserve"> or any grammar point that you want to find out about</w:t>
            </w:r>
          </w:p>
          <w:p w14:paraId="0435EB70" w14:textId="38C274B5" w:rsidR="00D76370" w:rsidRPr="00EF174C" w:rsidRDefault="00D76370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Search for podcasts in the language that you are learning. See if you can understand anything. Make notes and create a vocabulary list of anything new that you have learnt</w:t>
            </w: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194"/>
    <w:rsid w:val="002E200D"/>
    <w:rsid w:val="004330BA"/>
    <w:rsid w:val="00497300"/>
    <w:rsid w:val="004E6EA4"/>
    <w:rsid w:val="00667F22"/>
    <w:rsid w:val="00674B85"/>
    <w:rsid w:val="006F5C92"/>
    <w:rsid w:val="006F6462"/>
    <w:rsid w:val="007F0011"/>
    <w:rsid w:val="008A599A"/>
    <w:rsid w:val="00943925"/>
    <w:rsid w:val="00980E35"/>
    <w:rsid w:val="009F0729"/>
    <w:rsid w:val="00B325DA"/>
    <w:rsid w:val="00B54194"/>
    <w:rsid w:val="00D76370"/>
    <w:rsid w:val="00E903E1"/>
    <w:rsid w:val="00EF174C"/>
    <w:rsid w:val="00EF712F"/>
    <w:rsid w:val="00F121E9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69e7cd5-f31e-4dbe-8f72-1557f27df4f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Field</cp:lastModifiedBy>
  <cp:revision>3</cp:revision>
  <dcterms:created xsi:type="dcterms:W3CDTF">2025-09-30T12:10:00Z</dcterms:created>
  <dcterms:modified xsi:type="dcterms:W3CDTF">2025-09-30T12:16:00Z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