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750807C5" w:rsidR="008A599A" w:rsidRDefault="00EF712F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Exemplar </w:t>
      </w:r>
      <w:r w:rsidR="006F5C92">
        <w:rPr>
          <w:rFonts w:cstheme="minorHAnsi"/>
          <w:b/>
          <w:bCs/>
          <w:sz w:val="28"/>
          <w:szCs w:val="28"/>
        </w:rPr>
        <w:t xml:space="preserve">- </w:t>
      </w:r>
      <w:r w:rsidR="00B54194"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CA23B9">
        <w:rPr>
          <w:rFonts w:cstheme="minorHAnsi"/>
          <w:b/>
          <w:bCs/>
          <w:sz w:val="28"/>
          <w:szCs w:val="28"/>
        </w:rPr>
        <w:t>Geography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A23B9">
              <w:rPr>
                <w:rFonts w:cstheme="minorHAnsi"/>
                <w:b/>
                <w:bCs/>
                <w:sz w:val="24"/>
                <w:szCs w:val="24"/>
              </w:rPr>
              <w:t>Go back over your notes</w:t>
            </w:r>
            <w:r>
              <w:rPr>
                <w:rFonts w:cstheme="minorHAnsi"/>
                <w:sz w:val="24"/>
                <w:szCs w:val="24"/>
              </w:rPr>
              <w:t xml:space="preserve"> and check that you understand everything you have written down.  Anything you don’t understand, check with a friend, in a text book or ask your teacher to clarify</w:t>
            </w:r>
          </w:p>
          <w:p w14:paraId="3951F917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Fill in any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gaps from activities</w:t>
            </w:r>
            <w:r>
              <w:rPr>
                <w:rFonts w:cstheme="minorHAnsi"/>
                <w:sz w:val="24"/>
                <w:szCs w:val="24"/>
              </w:rPr>
              <w:t xml:space="preserve"> you did not quite complete in class</w:t>
            </w:r>
          </w:p>
          <w:p w14:paraId="2C04CBA1" w14:textId="626E788D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Make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flashcards</w:t>
            </w:r>
            <w:r>
              <w:rPr>
                <w:rFonts w:cstheme="minorHAnsi"/>
                <w:sz w:val="24"/>
                <w:szCs w:val="24"/>
              </w:rPr>
              <w:t xml:space="preserve"> or </w:t>
            </w:r>
            <w:r w:rsidR="00CA23B9">
              <w:rPr>
                <w:rFonts w:cstheme="minorHAnsi"/>
                <w:sz w:val="24"/>
                <w:szCs w:val="24"/>
              </w:rPr>
              <w:t>alternative</w:t>
            </w:r>
            <w:r>
              <w:rPr>
                <w:rFonts w:cstheme="minorHAnsi"/>
                <w:sz w:val="24"/>
                <w:szCs w:val="24"/>
              </w:rPr>
              <w:t xml:space="preserve"> of any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new vocabulary</w:t>
            </w:r>
            <w:r>
              <w:rPr>
                <w:rFonts w:cstheme="minorHAnsi"/>
                <w:sz w:val="24"/>
                <w:szCs w:val="24"/>
              </w:rPr>
              <w:t xml:space="preserve"> and practise this so that you learn the key words</w:t>
            </w:r>
          </w:p>
          <w:p w14:paraId="0D933C60" w14:textId="0A98B48C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Create a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one-page revision summary</w:t>
            </w:r>
            <w:r>
              <w:rPr>
                <w:rFonts w:cstheme="minorHAnsi"/>
                <w:sz w:val="24"/>
                <w:szCs w:val="24"/>
              </w:rPr>
              <w:t xml:space="preserve"> of the key ideas – this can be a mind-map, set of bullet points or whatever works best for you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97D53C6" w14:textId="2CFCE3C5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will mostly take the form of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practice exam questions</w:t>
            </w:r>
            <w:r>
              <w:rPr>
                <w:rFonts w:cstheme="minorHAnsi"/>
                <w:sz w:val="24"/>
                <w:szCs w:val="24"/>
              </w:rPr>
              <w:t xml:space="preserve"> to build up your skills for the different types of question</w:t>
            </w:r>
            <w:r w:rsidR="00CA23B9">
              <w:rPr>
                <w:rFonts w:cstheme="minorHAnsi"/>
                <w:sz w:val="24"/>
                <w:szCs w:val="24"/>
              </w:rPr>
              <w:t xml:space="preserve"> in Geography exam papers (3, 4, 6, 8, 12 &amp; 20 mark questions)</w:t>
            </w:r>
          </w:p>
          <w:p w14:paraId="6E356473" w14:textId="29C90174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Sometimes this </w:t>
            </w:r>
            <w:r w:rsidR="00CA23B9">
              <w:rPr>
                <w:rFonts w:cstheme="minorHAnsi"/>
                <w:sz w:val="24"/>
                <w:szCs w:val="24"/>
              </w:rPr>
              <w:t>may</w:t>
            </w:r>
            <w:r>
              <w:rPr>
                <w:rFonts w:cstheme="minorHAnsi"/>
                <w:sz w:val="24"/>
                <w:szCs w:val="24"/>
              </w:rPr>
              <w:t xml:space="preserve"> be a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pre-reading task</w:t>
            </w:r>
            <w:r>
              <w:rPr>
                <w:rFonts w:cstheme="minorHAnsi"/>
                <w:sz w:val="24"/>
                <w:szCs w:val="24"/>
              </w:rPr>
              <w:t xml:space="preserve"> to prepare for the next lesson</w:t>
            </w:r>
          </w:p>
          <w:p w14:paraId="127C243F" w14:textId="601E5AF4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Sometimes this will involve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planning a</w:t>
            </w:r>
            <w:r w:rsidR="00CA23B9" w:rsidRPr="00CA23B9">
              <w:rPr>
                <w:rFonts w:cstheme="minorHAnsi"/>
                <w:b/>
                <w:bCs/>
                <w:sz w:val="24"/>
                <w:szCs w:val="24"/>
              </w:rPr>
              <w:t xml:space="preserve"> longer style exam answer</w:t>
            </w:r>
            <w:r>
              <w:rPr>
                <w:rFonts w:cstheme="minorHAnsi"/>
                <w:sz w:val="24"/>
                <w:szCs w:val="24"/>
              </w:rPr>
              <w:t xml:space="preserve"> which will be completed in timed conditions in class</w:t>
            </w:r>
          </w:p>
          <w:p w14:paraId="35971225" w14:textId="145DAE83" w:rsid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A23B9">
              <w:rPr>
                <w:rFonts w:cstheme="minorHAnsi"/>
                <w:b/>
                <w:bCs/>
                <w:sz w:val="24"/>
                <w:szCs w:val="24"/>
              </w:rPr>
              <w:t>Revision</w:t>
            </w:r>
            <w:r>
              <w:rPr>
                <w:rFonts w:cstheme="minorHAnsi"/>
                <w:sz w:val="24"/>
                <w:szCs w:val="24"/>
              </w:rPr>
              <w:t xml:space="preserve"> will also be set for home learning at appropriate times in the year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116196F9" w14:textId="76FB48E3" w:rsidR="00B54194" w:rsidRPr="00CA23B9" w:rsidRDefault="00B54194" w:rsidP="00CA23B9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 xml:space="preserve">course </w:t>
            </w:r>
            <w:r w:rsidR="00CA23B9" w:rsidRPr="00CA23B9">
              <w:rPr>
                <w:rFonts w:cstheme="minorHAnsi"/>
                <w:b/>
                <w:bCs/>
                <w:sz w:val="24"/>
                <w:szCs w:val="24"/>
              </w:rPr>
              <w:t>revision guides</w:t>
            </w:r>
            <w:r w:rsidR="00CA23B9">
              <w:rPr>
                <w:rFonts w:cstheme="minorHAnsi"/>
                <w:b/>
                <w:bCs/>
                <w:sz w:val="24"/>
                <w:szCs w:val="24"/>
              </w:rPr>
              <w:t xml:space="preserve"> (official books you can also find at the back of HU04)</w:t>
            </w:r>
            <w:r w:rsidR="00CA23B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will also give you some of the wider background to the theories we cover.  </w:t>
            </w:r>
          </w:p>
          <w:p w14:paraId="681DBA8C" w14:textId="34413F26" w:rsidR="00F73ABD" w:rsidRPr="00980E35" w:rsidRDefault="00F73ABD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Ed</w:t>
            </w:r>
            <w:r w:rsidR="00CA23B9" w:rsidRPr="00CA23B9">
              <w:rPr>
                <w:rFonts w:cstheme="minorHAnsi"/>
                <w:b/>
                <w:bCs/>
                <w:sz w:val="24"/>
                <w:szCs w:val="24"/>
              </w:rPr>
              <w:t>excel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 xml:space="preserve"> website</w:t>
            </w:r>
            <w:r>
              <w:rPr>
                <w:rFonts w:cstheme="minorHAnsi"/>
                <w:sz w:val="24"/>
                <w:szCs w:val="24"/>
              </w:rPr>
              <w:t xml:space="preserve"> has a range of past papers and mark schemes.  You can practise planning answers and then check whether you have covered everything in the mark scheme</w:t>
            </w:r>
          </w:p>
          <w:p w14:paraId="0435EB70" w14:textId="1FE7D34B" w:rsidR="00980E35" w:rsidRPr="00F73ABD" w:rsidRDefault="00CA23B9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 the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topic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A23B9">
              <w:rPr>
                <w:rFonts w:cstheme="minorHAnsi"/>
                <w:b/>
                <w:bCs/>
                <w:sz w:val="24"/>
                <w:szCs w:val="24"/>
              </w:rPr>
              <w:t>past exam paper exam booklets</w:t>
            </w:r>
            <w:r>
              <w:rPr>
                <w:rFonts w:cstheme="minorHAnsi"/>
                <w:sz w:val="24"/>
                <w:szCs w:val="24"/>
              </w:rPr>
              <w:t xml:space="preserve"> given to you by your teacher to practise exam answers on a regular basis, as part of your ongoing revision. Use these either to test your ability to recall knowledge, or, </w:t>
            </w:r>
            <w:r w:rsidR="00201D87">
              <w:rPr>
                <w:rFonts w:cstheme="minorHAnsi"/>
                <w:sz w:val="24"/>
                <w:szCs w:val="24"/>
              </w:rPr>
              <w:t>simply focus on exam technique (writing style) by looking at the mark scheme first, to improve your ability to write concise exam answers.</w:t>
            </w: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201D87"/>
    <w:rsid w:val="002E1B58"/>
    <w:rsid w:val="002E200D"/>
    <w:rsid w:val="00497300"/>
    <w:rsid w:val="006F5C92"/>
    <w:rsid w:val="008A599A"/>
    <w:rsid w:val="00943925"/>
    <w:rsid w:val="00947B7D"/>
    <w:rsid w:val="00980E35"/>
    <w:rsid w:val="009F0729"/>
    <w:rsid w:val="00B325DA"/>
    <w:rsid w:val="00B54194"/>
    <w:rsid w:val="00CA23B9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Props1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McDonald</cp:lastModifiedBy>
  <cp:revision>3</cp:revision>
  <dcterms:created xsi:type="dcterms:W3CDTF">2025-09-19T11:40:00Z</dcterms:created>
  <dcterms:modified xsi:type="dcterms:W3CDTF">2025-09-19T11:52:00Z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